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CFC8CA" w14:textId="77777777" w:rsidR="00B40A3C" w:rsidRDefault="002156C0">
      <w:pPr>
        <w:pStyle w:val="Title"/>
        <w:spacing w:line="254" w:lineRule="auto"/>
        <w:ind w:firstLine="100"/>
        <w:jc w:val="center"/>
        <w:rPr>
          <w:color w:val="9900FF"/>
          <w:sz w:val="20"/>
          <w:szCs w:val="20"/>
        </w:rPr>
      </w:pPr>
      <w:r>
        <w:rPr>
          <w:noProof/>
          <w:color w:val="9900FF"/>
          <w:sz w:val="20"/>
          <w:szCs w:val="20"/>
        </w:rPr>
        <w:drawing>
          <wp:inline distT="0" distB="0" distL="0" distR="0" wp14:anchorId="33734C94" wp14:editId="694DA46D">
            <wp:extent cx="2426910" cy="846537"/>
            <wp:effectExtent l="0" t="0" r="0" b="0"/>
            <wp:docPr id="1826254908" name="image1.png" descr="A blue whale tail with text on a black background&#10;&#10;Description automatically generated"/>
            <wp:cNvGraphicFramePr/>
            <a:graphic xmlns:a="http://schemas.openxmlformats.org/drawingml/2006/main">
              <a:graphicData uri="http://schemas.openxmlformats.org/drawingml/2006/picture">
                <pic:pic xmlns:pic="http://schemas.openxmlformats.org/drawingml/2006/picture">
                  <pic:nvPicPr>
                    <pic:cNvPr id="0" name="image1.png" descr="A blue whale tail with text on a black background&#10;&#10;Description automatically generated"/>
                    <pic:cNvPicPr preferRelativeResize="0"/>
                  </pic:nvPicPr>
                  <pic:blipFill>
                    <a:blip r:embed="rId6"/>
                    <a:srcRect/>
                    <a:stretch>
                      <a:fillRect/>
                    </a:stretch>
                  </pic:blipFill>
                  <pic:spPr>
                    <a:xfrm>
                      <a:off x="0" y="0"/>
                      <a:ext cx="2426910" cy="846537"/>
                    </a:xfrm>
                    <a:prstGeom prst="rect">
                      <a:avLst/>
                    </a:prstGeom>
                    <a:ln/>
                  </pic:spPr>
                </pic:pic>
              </a:graphicData>
            </a:graphic>
          </wp:inline>
        </w:drawing>
      </w:r>
    </w:p>
    <w:p w14:paraId="7156C63F" w14:textId="77777777" w:rsidR="00B40A3C" w:rsidRDefault="00B40A3C">
      <w:pPr>
        <w:pStyle w:val="Title"/>
        <w:spacing w:line="254" w:lineRule="auto"/>
        <w:ind w:firstLine="100"/>
        <w:rPr>
          <w:color w:val="444444"/>
        </w:rPr>
      </w:pPr>
    </w:p>
    <w:p w14:paraId="29004910" w14:textId="77777777" w:rsidR="00B40A3C" w:rsidRDefault="002156C0">
      <w:pPr>
        <w:pStyle w:val="Title"/>
        <w:spacing w:line="254" w:lineRule="auto"/>
        <w:ind w:firstLine="100"/>
        <w:jc w:val="center"/>
      </w:pPr>
      <w:r>
        <w:t xml:space="preserve">Special Education Programs </w:t>
      </w:r>
    </w:p>
    <w:p w14:paraId="0AFFAD21" w14:textId="77777777" w:rsidR="00B40A3C" w:rsidRDefault="002156C0">
      <w:pPr>
        <w:pStyle w:val="Title"/>
        <w:spacing w:line="254" w:lineRule="auto"/>
        <w:ind w:firstLine="100"/>
        <w:jc w:val="center"/>
      </w:pPr>
      <w:r>
        <w:t xml:space="preserve">Annual Program Assessment Plan </w:t>
      </w:r>
    </w:p>
    <w:p w14:paraId="0DA174F4" w14:textId="77777777" w:rsidR="00B40A3C" w:rsidRDefault="00B40A3C">
      <w:pPr>
        <w:pStyle w:val="Title"/>
        <w:spacing w:line="254" w:lineRule="auto"/>
        <w:ind w:firstLine="100"/>
        <w:jc w:val="center"/>
        <w:rPr>
          <w:color w:val="444444"/>
        </w:rPr>
      </w:pPr>
    </w:p>
    <w:p w14:paraId="06105D55" w14:textId="77777777" w:rsidR="00B40A3C" w:rsidRDefault="002156C0">
      <w:pPr>
        <w:pStyle w:val="Title"/>
        <w:spacing w:line="254" w:lineRule="auto"/>
        <w:ind w:left="0"/>
        <w:jc w:val="center"/>
        <w:rPr>
          <w:color w:val="444444"/>
          <w:sz w:val="28"/>
          <w:szCs w:val="28"/>
        </w:rPr>
      </w:pPr>
      <w:r>
        <w:rPr>
          <w:color w:val="444444"/>
          <w:sz w:val="28"/>
          <w:szCs w:val="28"/>
        </w:rPr>
        <w:t>Overview</w:t>
      </w:r>
    </w:p>
    <w:p w14:paraId="3CD92B32" w14:textId="77777777" w:rsidR="00B40A3C" w:rsidRDefault="00B40A3C"/>
    <w:p w14:paraId="725AE22C" w14:textId="61EB9F36" w:rsidR="00B40A3C" w:rsidRDefault="002156C0">
      <w:pPr>
        <w:spacing w:before="320" w:line="249" w:lineRule="auto"/>
        <w:ind w:left="20" w:right="1180"/>
      </w:pPr>
      <w:r>
        <w:t xml:space="preserve">The Council for Exceptional Children (CEC) nationally recognized the special education programs at the University of Alaska Southeast (UAS) School of Education (SOE) in 2015.The recognition </w:t>
      </w:r>
      <w:r w:rsidR="00086670">
        <w:t>was extended through CAEP/CEC in 2024</w:t>
      </w:r>
      <w:r>
        <w:t xml:space="preserve">. The special education programs consist of four pathways: Master of Education (M.Ed.), Graduate Certificate (G.C.), Master of Arts in Teaching (M.A.T.), and the Bachelor of Arts (BA). The M.Ed. and the G.C. (K-12) programs lead to the (PK) K-12 special education endorsement </w:t>
      </w:r>
      <w:proofErr w:type="gramStart"/>
      <w:r>
        <w:t>to</w:t>
      </w:r>
      <w:proofErr w:type="gramEnd"/>
      <w:r>
        <w:t xml:space="preserve"> those already holding an Alaska teaching certificate. The M.A.T. degree was initiated in 2012 to provide an alternative route to certification with the (PK) K-12 endorsement in special education to candidates who do not have a valid teaching </w:t>
      </w:r>
      <w:proofErr w:type="gramStart"/>
      <w:r>
        <w:t>certificate</w:t>
      </w:r>
      <w:proofErr w:type="gramEnd"/>
      <w:r>
        <w:t xml:space="preserve"> but who do have a baccalaureate degree. The BA. in special education, requested by Alaska’s Department of Education and Early Learning (DEED) was initiated in 2012 and allows candidates to complete their baccalaureate degree, which includes coursework leading to certification with the (PK) K-12 endorsement in special education.</w:t>
      </w:r>
    </w:p>
    <w:p w14:paraId="23A396FD" w14:textId="74D24EC9" w:rsidR="00B40A3C" w:rsidRDefault="002156C0">
      <w:pPr>
        <w:spacing w:before="320" w:line="249" w:lineRule="auto"/>
        <w:ind w:left="20" w:right="1180"/>
      </w:pPr>
      <w:r>
        <w:t xml:space="preserve">The special education programs are fully distance delivered and cater to non-traditional students. Courses are “stacked” which means that all programs are typically represented in the course roster for each course offering </w:t>
      </w:r>
      <w:proofErr w:type="gramStart"/>
      <w:r>
        <w:t>in a given</w:t>
      </w:r>
      <w:proofErr w:type="gramEnd"/>
      <w:r>
        <w:t xml:space="preserve"> semester. Council for the Accreditation of Educator Preparation (CAEP views the BA. and M.A.T. as initial certification programs. The M.Ed. and G.C. advanced programs house candidates who are certified general education teachers working in the field. The Council for Exceptional Children views all programs (M.Ed., G.C, BA., and M.A.T.) as initial certification programs unless the undergraduate degree </w:t>
      </w:r>
      <w:proofErr w:type="gramStart"/>
      <w:r>
        <w:t>is</w:t>
      </w:r>
      <w:proofErr w:type="gramEnd"/>
      <w:r>
        <w:t xml:space="preserve"> in special education, the program is considered advanced. This unique situation fosters opportunities for mentoring relationships among the candidates.</w:t>
      </w:r>
    </w:p>
    <w:p w14:paraId="55E43C0E" w14:textId="7B860896" w:rsidR="00B40A3C" w:rsidRDefault="002156C0">
      <w:pPr>
        <w:spacing w:before="320" w:line="249" w:lineRule="auto"/>
        <w:ind w:left="20" w:right="1180"/>
      </w:pPr>
      <w:r>
        <w:t xml:space="preserve">The special education program faculty </w:t>
      </w:r>
      <w:proofErr w:type="gramStart"/>
      <w:r>
        <w:t>support</w:t>
      </w:r>
      <w:proofErr w:type="gramEnd"/>
      <w:r>
        <w:t xml:space="preserve"> candidates who work in challenging situations in public schools. The programs are committed to inclusive practice, cultural safety, curricular equity, and social justice. </w:t>
      </w:r>
      <w:proofErr w:type="gramStart"/>
      <w:r>
        <w:t>All of</w:t>
      </w:r>
      <w:proofErr w:type="gramEnd"/>
      <w:r>
        <w:t xml:space="preserve"> the required core courses emphasize the development and implementation of culturally sustainable special education services in all Alaska communities and </w:t>
      </w:r>
      <w:proofErr w:type="gramStart"/>
      <w:r>
        <w:t>in particular the</w:t>
      </w:r>
      <w:proofErr w:type="gramEnd"/>
      <w:r>
        <w:t xml:space="preserve"> rural and remote Alaska Native villages. Faculty are student-centered in course delivery and in a similar </w:t>
      </w:r>
      <w:proofErr w:type="gramStart"/>
      <w:r>
        <w:t>manner,</w:t>
      </w:r>
      <w:proofErr w:type="gramEnd"/>
      <w:r>
        <w:t xml:space="preserve"> encourage candidates to develop culturally sustaining, strength-based, individualized and trauma-informed classroom practices. The importance of collaboration with families and the community, reflection on practice, and knowledge of the theoretical foundation of practice and instruction are central components to the special education programs at UAS.  </w:t>
      </w:r>
    </w:p>
    <w:p w14:paraId="2FE0BE40" w14:textId="77777777" w:rsidR="00B40A3C" w:rsidRDefault="00B40A3C">
      <w:pPr>
        <w:spacing w:line="249" w:lineRule="auto"/>
        <w:rPr>
          <w:b/>
        </w:rPr>
      </w:pPr>
    </w:p>
    <w:p w14:paraId="5BEF7CEF" w14:textId="77777777" w:rsidR="00B40A3C" w:rsidRDefault="00B40A3C">
      <w:pPr>
        <w:rPr>
          <w:rFonts w:ascii="Cambria" w:eastAsia="Cambria" w:hAnsi="Cambria" w:cs="Cambria"/>
          <w:b/>
          <w:sz w:val="28"/>
          <w:szCs w:val="28"/>
        </w:rPr>
      </w:pPr>
    </w:p>
    <w:p w14:paraId="639FAC9B" w14:textId="77777777" w:rsidR="00E23634" w:rsidRDefault="00E23634">
      <w:pPr>
        <w:jc w:val="center"/>
        <w:rPr>
          <w:b/>
          <w:sz w:val="28"/>
          <w:szCs w:val="28"/>
        </w:rPr>
      </w:pPr>
    </w:p>
    <w:p w14:paraId="0D98B4F1" w14:textId="0581E7A1" w:rsidR="00B40A3C" w:rsidRDefault="002156C0">
      <w:pPr>
        <w:jc w:val="center"/>
        <w:rPr>
          <w:b/>
          <w:sz w:val="28"/>
          <w:szCs w:val="28"/>
        </w:rPr>
      </w:pPr>
      <w:r>
        <w:rPr>
          <w:b/>
          <w:sz w:val="28"/>
          <w:szCs w:val="28"/>
        </w:rPr>
        <w:lastRenderedPageBreak/>
        <w:t>Assessment Plan</w:t>
      </w:r>
    </w:p>
    <w:p w14:paraId="36624C68" w14:textId="77777777" w:rsidR="00B40A3C" w:rsidRDefault="00B40A3C">
      <w:pPr>
        <w:jc w:val="center"/>
        <w:rPr>
          <w:rFonts w:ascii="Cambria" w:eastAsia="Cambria" w:hAnsi="Cambria" w:cs="Cambria"/>
          <w:b/>
          <w:sz w:val="28"/>
          <w:szCs w:val="28"/>
        </w:rPr>
      </w:pPr>
    </w:p>
    <w:tbl>
      <w:tblPr>
        <w:tblStyle w:val="1"/>
        <w:tblW w:w="105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045"/>
        <w:gridCol w:w="4455"/>
      </w:tblGrid>
      <w:tr w:rsidR="00B40A3C" w14:paraId="2D4C7C14" w14:textId="77777777">
        <w:trPr>
          <w:tblHeader/>
        </w:trPr>
        <w:tc>
          <w:tcPr>
            <w:tcW w:w="6045" w:type="dxa"/>
            <w:shd w:val="clear" w:color="auto" w:fill="B7DDE8"/>
          </w:tcPr>
          <w:p w14:paraId="7419F6DD" w14:textId="77777777" w:rsidR="00B40A3C" w:rsidRDefault="002156C0">
            <w:r>
              <w:t>Performance Learning Objectives (CEC standards)</w:t>
            </w:r>
          </w:p>
        </w:tc>
        <w:tc>
          <w:tcPr>
            <w:tcW w:w="4455" w:type="dxa"/>
            <w:shd w:val="clear" w:color="auto" w:fill="B7DDE8"/>
          </w:tcPr>
          <w:p w14:paraId="23206842" w14:textId="77777777" w:rsidR="00B40A3C" w:rsidRDefault="002156C0">
            <w:r>
              <w:t>Measures</w:t>
            </w:r>
          </w:p>
        </w:tc>
      </w:tr>
      <w:tr w:rsidR="00B40A3C" w14:paraId="15017257" w14:textId="77777777">
        <w:trPr>
          <w:trHeight w:val="1725"/>
        </w:trPr>
        <w:tc>
          <w:tcPr>
            <w:tcW w:w="6045" w:type="dxa"/>
          </w:tcPr>
          <w:p w14:paraId="6A40C568" w14:textId="534A076E" w:rsidR="00B40A3C" w:rsidRDefault="002156C0">
            <w:pPr>
              <w:rPr>
                <w:rFonts w:ascii="Cambria" w:eastAsia="Cambria" w:hAnsi="Cambria" w:cs="Cambria"/>
              </w:rPr>
            </w:pPr>
            <w:r>
              <w:rPr>
                <w:rFonts w:ascii="Cambria" w:eastAsia="Cambria" w:hAnsi="Cambria" w:cs="Cambria"/>
              </w:rPr>
              <w:t>1.  Candidates practice within ethical and legal guidelines; advocate for improved outcomes for individuals with exceptionalities and their families while considering their social, cultural, and linguistic diversity; and engage in ongoing self-reflection to design and implement professional learning activities.</w:t>
            </w:r>
          </w:p>
          <w:p w14:paraId="6BB96652" w14:textId="77777777" w:rsidR="00B40A3C" w:rsidRDefault="00B40A3C">
            <w:pPr>
              <w:rPr>
                <w:rFonts w:ascii="Cambria" w:eastAsia="Cambria" w:hAnsi="Cambria" w:cs="Cambria"/>
              </w:rPr>
            </w:pPr>
          </w:p>
        </w:tc>
        <w:tc>
          <w:tcPr>
            <w:tcW w:w="4455" w:type="dxa"/>
          </w:tcPr>
          <w:p w14:paraId="4297475C" w14:textId="77777777" w:rsidR="00B40A3C" w:rsidRDefault="002156C0">
            <w:pPr>
              <w:rPr>
                <w:rFonts w:ascii="Cambria" w:eastAsia="Cambria" w:hAnsi="Cambria" w:cs="Cambria"/>
              </w:rPr>
            </w:pPr>
            <w:r>
              <w:rPr>
                <w:rFonts w:ascii="Cambria" w:eastAsia="Cambria" w:hAnsi="Cambria" w:cs="Cambria"/>
              </w:rPr>
              <w:t>STOT</w:t>
            </w:r>
          </w:p>
          <w:p w14:paraId="409959BB" w14:textId="77777777" w:rsidR="00B40A3C" w:rsidRDefault="002156C0">
            <w:pPr>
              <w:rPr>
                <w:rFonts w:ascii="Cambria" w:eastAsia="Cambria" w:hAnsi="Cambria" w:cs="Cambria"/>
              </w:rPr>
            </w:pPr>
            <w:r>
              <w:rPr>
                <w:rFonts w:ascii="Cambria" w:eastAsia="Cambria" w:hAnsi="Cambria" w:cs="Cambria"/>
              </w:rPr>
              <w:t>Practicum Observation Form</w:t>
            </w:r>
          </w:p>
          <w:p w14:paraId="56143572" w14:textId="77777777" w:rsidR="00B40A3C" w:rsidRDefault="002156C0">
            <w:pPr>
              <w:rPr>
                <w:rFonts w:ascii="Cambria" w:eastAsia="Cambria" w:hAnsi="Cambria" w:cs="Cambria"/>
              </w:rPr>
            </w:pPr>
            <w:r>
              <w:rPr>
                <w:rFonts w:ascii="Cambria" w:eastAsia="Cambria" w:hAnsi="Cambria" w:cs="Cambria"/>
              </w:rPr>
              <w:t>IEP Project</w:t>
            </w:r>
          </w:p>
          <w:p w14:paraId="60534070" w14:textId="77777777" w:rsidR="00B40A3C" w:rsidRDefault="002156C0">
            <w:pPr>
              <w:rPr>
                <w:rFonts w:ascii="Cambria" w:eastAsia="Cambria" w:hAnsi="Cambria" w:cs="Cambria"/>
              </w:rPr>
            </w:pPr>
            <w:r>
              <w:rPr>
                <w:rFonts w:ascii="Cambria" w:eastAsia="Cambria" w:hAnsi="Cambria" w:cs="Cambria"/>
              </w:rPr>
              <w:t>Case Study,</w:t>
            </w:r>
          </w:p>
          <w:p w14:paraId="74DBE359" w14:textId="77777777" w:rsidR="00B40A3C" w:rsidRDefault="002156C0">
            <w:pPr>
              <w:rPr>
                <w:rFonts w:ascii="Cambria" w:eastAsia="Cambria" w:hAnsi="Cambria" w:cs="Cambria"/>
              </w:rPr>
            </w:pPr>
            <w:r>
              <w:rPr>
                <w:rFonts w:ascii="Cambria" w:eastAsia="Cambria" w:hAnsi="Cambria" w:cs="Cambria"/>
              </w:rPr>
              <w:t>Transition Project</w:t>
            </w:r>
          </w:p>
          <w:p w14:paraId="32ADC54B" w14:textId="77777777" w:rsidR="00B40A3C" w:rsidRDefault="002156C0">
            <w:pPr>
              <w:rPr>
                <w:rFonts w:ascii="Cambria" w:eastAsia="Cambria" w:hAnsi="Cambria" w:cs="Cambria"/>
              </w:rPr>
            </w:pPr>
            <w:r>
              <w:rPr>
                <w:rFonts w:ascii="Cambria" w:eastAsia="Cambria" w:hAnsi="Cambria" w:cs="Cambria"/>
              </w:rPr>
              <w:t>Portfolio</w:t>
            </w:r>
          </w:p>
          <w:p w14:paraId="4F76A0BE" w14:textId="77777777" w:rsidR="00B40A3C" w:rsidRDefault="002156C0">
            <w:pPr>
              <w:rPr>
                <w:rFonts w:ascii="Cambria" w:eastAsia="Cambria" w:hAnsi="Cambria" w:cs="Cambria"/>
              </w:rPr>
            </w:pPr>
            <w:r>
              <w:rPr>
                <w:rFonts w:ascii="Cambria" w:eastAsia="Cambria" w:hAnsi="Cambria" w:cs="Cambria"/>
              </w:rPr>
              <w:t>PCA</w:t>
            </w:r>
          </w:p>
        </w:tc>
      </w:tr>
      <w:tr w:rsidR="00B40A3C" w14:paraId="0C33195D" w14:textId="77777777">
        <w:trPr>
          <w:trHeight w:val="1410"/>
        </w:trPr>
        <w:tc>
          <w:tcPr>
            <w:tcW w:w="6045" w:type="dxa"/>
          </w:tcPr>
          <w:p w14:paraId="65BB0028" w14:textId="1A3C860B" w:rsidR="00B40A3C" w:rsidRDefault="002156C0">
            <w:pPr>
              <w:rPr>
                <w:rFonts w:ascii="Cambria" w:eastAsia="Cambria" w:hAnsi="Cambria" w:cs="Cambria"/>
              </w:rPr>
            </w:pPr>
            <w:r>
              <w:rPr>
                <w:rFonts w:ascii="Cambria" w:eastAsia="Cambria" w:hAnsi="Cambria" w:cs="Cambria"/>
              </w:rPr>
              <w:t xml:space="preserve">2. </w:t>
            </w:r>
            <w:r>
              <w:rPr>
                <w:rFonts w:ascii="Times New Roman" w:eastAsia="Times New Roman" w:hAnsi="Times New Roman" w:cs="Times New Roman"/>
                <w:sz w:val="14"/>
                <w:szCs w:val="14"/>
              </w:rPr>
              <w:t xml:space="preserve"> </w:t>
            </w:r>
            <w:r>
              <w:rPr>
                <w:rFonts w:ascii="Cambria" w:eastAsia="Cambria" w:hAnsi="Cambria" w:cs="Cambria"/>
              </w:rPr>
              <w:t xml:space="preserve">Candidates use their understanding of human growth and development, the multiple influences on development, individual differences, diversity, including exceptionalities, and families and communities to plan and implement inclusive learning environments and experiences that provide individuals with exceptionalities high-quality learning experiences reflective of </w:t>
            </w:r>
            <w:proofErr w:type="gramStart"/>
            <w:r>
              <w:rPr>
                <w:rFonts w:ascii="Cambria" w:eastAsia="Cambria" w:hAnsi="Cambria" w:cs="Cambria"/>
              </w:rPr>
              <w:t>each individual’s</w:t>
            </w:r>
            <w:proofErr w:type="gramEnd"/>
            <w:r>
              <w:rPr>
                <w:rFonts w:ascii="Cambria" w:eastAsia="Cambria" w:hAnsi="Cambria" w:cs="Cambria"/>
              </w:rPr>
              <w:t xml:space="preserve"> strengths and needs.</w:t>
            </w:r>
          </w:p>
        </w:tc>
        <w:tc>
          <w:tcPr>
            <w:tcW w:w="4455" w:type="dxa"/>
          </w:tcPr>
          <w:p w14:paraId="5201F0A5" w14:textId="77777777" w:rsidR="00B40A3C" w:rsidRDefault="002156C0">
            <w:pPr>
              <w:rPr>
                <w:rFonts w:ascii="Cambria" w:eastAsia="Cambria" w:hAnsi="Cambria" w:cs="Cambria"/>
              </w:rPr>
            </w:pPr>
            <w:r>
              <w:rPr>
                <w:rFonts w:ascii="Cambria" w:eastAsia="Cambria" w:hAnsi="Cambria" w:cs="Cambria"/>
              </w:rPr>
              <w:t>IEP Project</w:t>
            </w:r>
          </w:p>
          <w:p w14:paraId="2F79DC49" w14:textId="77777777" w:rsidR="00B40A3C" w:rsidRDefault="002156C0">
            <w:pPr>
              <w:rPr>
                <w:rFonts w:ascii="Cambria" w:eastAsia="Cambria" w:hAnsi="Cambria" w:cs="Cambria"/>
              </w:rPr>
            </w:pPr>
            <w:r>
              <w:rPr>
                <w:rFonts w:ascii="Cambria" w:eastAsia="Cambria" w:hAnsi="Cambria" w:cs="Cambria"/>
              </w:rPr>
              <w:t>Case Study,</w:t>
            </w:r>
          </w:p>
          <w:p w14:paraId="71049709" w14:textId="77777777" w:rsidR="00B40A3C" w:rsidRDefault="002156C0">
            <w:pPr>
              <w:rPr>
                <w:rFonts w:ascii="Cambria" w:eastAsia="Cambria" w:hAnsi="Cambria" w:cs="Cambria"/>
              </w:rPr>
            </w:pPr>
            <w:r>
              <w:rPr>
                <w:rFonts w:ascii="Cambria" w:eastAsia="Cambria" w:hAnsi="Cambria" w:cs="Cambria"/>
              </w:rPr>
              <w:t>Transition Project</w:t>
            </w:r>
          </w:p>
          <w:p w14:paraId="58232F27" w14:textId="77777777" w:rsidR="00B40A3C" w:rsidRDefault="002156C0">
            <w:pPr>
              <w:rPr>
                <w:rFonts w:ascii="Cambria" w:eastAsia="Cambria" w:hAnsi="Cambria" w:cs="Cambria"/>
              </w:rPr>
            </w:pPr>
            <w:r>
              <w:rPr>
                <w:rFonts w:ascii="Cambria" w:eastAsia="Cambria" w:hAnsi="Cambria" w:cs="Cambria"/>
              </w:rPr>
              <w:t>Portfolio</w:t>
            </w:r>
          </w:p>
          <w:p w14:paraId="74F5B6A3" w14:textId="77777777" w:rsidR="00B40A3C" w:rsidRDefault="002156C0">
            <w:pPr>
              <w:rPr>
                <w:rFonts w:ascii="Cambria" w:eastAsia="Cambria" w:hAnsi="Cambria" w:cs="Cambria"/>
              </w:rPr>
            </w:pPr>
            <w:r>
              <w:rPr>
                <w:rFonts w:ascii="Cambria" w:eastAsia="Cambria" w:hAnsi="Cambria" w:cs="Cambria"/>
              </w:rPr>
              <w:t>Practicum observation Form</w:t>
            </w:r>
          </w:p>
          <w:p w14:paraId="116C8B92" w14:textId="77777777" w:rsidR="00B40A3C" w:rsidRDefault="002156C0">
            <w:pPr>
              <w:rPr>
                <w:rFonts w:ascii="Cambria" w:eastAsia="Cambria" w:hAnsi="Cambria" w:cs="Cambria"/>
              </w:rPr>
            </w:pPr>
            <w:r>
              <w:rPr>
                <w:rFonts w:ascii="Cambria" w:eastAsia="Cambria" w:hAnsi="Cambria" w:cs="Cambria"/>
              </w:rPr>
              <w:t>STOT</w:t>
            </w:r>
          </w:p>
        </w:tc>
      </w:tr>
      <w:tr w:rsidR="00B40A3C" w14:paraId="772E7AEA" w14:textId="77777777">
        <w:trPr>
          <w:trHeight w:val="2156"/>
        </w:trPr>
        <w:tc>
          <w:tcPr>
            <w:tcW w:w="6045" w:type="dxa"/>
          </w:tcPr>
          <w:p w14:paraId="1F60B68A" w14:textId="77777777" w:rsidR="00B40A3C" w:rsidRDefault="002156C0">
            <w:pPr>
              <w:rPr>
                <w:rFonts w:ascii="Cambria" w:eastAsia="Cambria" w:hAnsi="Cambria" w:cs="Cambria"/>
              </w:rPr>
            </w:pPr>
            <w:r>
              <w:rPr>
                <w:rFonts w:ascii="Cambria" w:eastAsia="Cambria" w:hAnsi="Cambria" w:cs="Cambria"/>
              </w:rPr>
              <w:t xml:space="preserve">3. Candidates apply their understanding of the academic </w:t>
            </w:r>
            <w:proofErr w:type="gramStart"/>
            <w:r>
              <w:rPr>
                <w:rFonts w:ascii="Cambria" w:eastAsia="Cambria" w:hAnsi="Cambria" w:cs="Cambria"/>
              </w:rPr>
              <w:t>subject matter</w:t>
            </w:r>
            <w:proofErr w:type="gramEnd"/>
            <w:r>
              <w:rPr>
                <w:rFonts w:ascii="Cambria" w:eastAsia="Cambria" w:hAnsi="Cambria" w:cs="Cambria"/>
              </w:rPr>
              <w:t xml:space="preserve"> content of the general curriculum and specialized curricula to inform their programmatic and instructional decisions for learners with exceptionalities. </w:t>
            </w:r>
          </w:p>
          <w:p w14:paraId="5C4796FC" w14:textId="77777777" w:rsidR="00B40A3C" w:rsidRDefault="00B40A3C">
            <w:pPr>
              <w:rPr>
                <w:rFonts w:ascii="Cambria" w:eastAsia="Cambria" w:hAnsi="Cambria" w:cs="Cambria"/>
              </w:rPr>
            </w:pPr>
          </w:p>
        </w:tc>
        <w:tc>
          <w:tcPr>
            <w:tcW w:w="4455" w:type="dxa"/>
          </w:tcPr>
          <w:p w14:paraId="41782CFF" w14:textId="77777777" w:rsidR="00B40A3C" w:rsidRDefault="002156C0">
            <w:pPr>
              <w:rPr>
                <w:rFonts w:ascii="Cambria" w:eastAsia="Cambria" w:hAnsi="Cambria" w:cs="Cambria"/>
              </w:rPr>
            </w:pPr>
            <w:r>
              <w:rPr>
                <w:rFonts w:ascii="Cambria" w:eastAsia="Cambria" w:hAnsi="Cambria" w:cs="Cambria"/>
              </w:rPr>
              <w:t>Practicum Observation Form</w:t>
            </w:r>
          </w:p>
          <w:p w14:paraId="3A62F83F" w14:textId="77777777" w:rsidR="00B40A3C" w:rsidRDefault="002156C0">
            <w:pPr>
              <w:rPr>
                <w:rFonts w:ascii="Cambria" w:eastAsia="Cambria" w:hAnsi="Cambria" w:cs="Cambria"/>
              </w:rPr>
            </w:pPr>
            <w:r>
              <w:rPr>
                <w:rFonts w:ascii="Cambria" w:eastAsia="Cambria" w:hAnsi="Cambria" w:cs="Cambria"/>
              </w:rPr>
              <w:t>STOT</w:t>
            </w:r>
          </w:p>
          <w:p w14:paraId="01DA58EA" w14:textId="77777777" w:rsidR="00B40A3C" w:rsidRDefault="002156C0">
            <w:pPr>
              <w:rPr>
                <w:rFonts w:ascii="Cambria" w:eastAsia="Cambria" w:hAnsi="Cambria" w:cs="Cambria"/>
              </w:rPr>
            </w:pPr>
            <w:r>
              <w:rPr>
                <w:rFonts w:ascii="Cambria" w:eastAsia="Cambria" w:hAnsi="Cambria" w:cs="Cambria"/>
              </w:rPr>
              <w:t>IEP Project</w:t>
            </w:r>
          </w:p>
          <w:p w14:paraId="3091BC2F" w14:textId="77777777" w:rsidR="00B40A3C" w:rsidRDefault="002156C0">
            <w:pPr>
              <w:rPr>
                <w:rFonts w:ascii="Cambria" w:eastAsia="Cambria" w:hAnsi="Cambria" w:cs="Cambria"/>
              </w:rPr>
            </w:pPr>
            <w:r>
              <w:rPr>
                <w:rFonts w:ascii="Cambria" w:eastAsia="Cambria" w:hAnsi="Cambria" w:cs="Cambria"/>
              </w:rPr>
              <w:t>Case Study,</w:t>
            </w:r>
          </w:p>
          <w:p w14:paraId="61ED333D" w14:textId="77777777" w:rsidR="00B40A3C" w:rsidRDefault="002156C0">
            <w:pPr>
              <w:rPr>
                <w:rFonts w:ascii="Cambria" w:eastAsia="Cambria" w:hAnsi="Cambria" w:cs="Cambria"/>
              </w:rPr>
            </w:pPr>
            <w:r>
              <w:rPr>
                <w:rFonts w:ascii="Cambria" w:eastAsia="Cambria" w:hAnsi="Cambria" w:cs="Cambria"/>
              </w:rPr>
              <w:t>Transition Project</w:t>
            </w:r>
          </w:p>
          <w:p w14:paraId="63D385AC" w14:textId="77777777" w:rsidR="00B40A3C" w:rsidRDefault="002156C0">
            <w:pPr>
              <w:rPr>
                <w:rFonts w:ascii="Cambria" w:eastAsia="Cambria" w:hAnsi="Cambria" w:cs="Cambria"/>
              </w:rPr>
            </w:pPr>
            <w:r>
              <w:rPr>
                <w:rFonts w:ascii="Cambria" w:eastAsia="Cambria" w:hAnsi="Cambria" w:cs="Cambria"/>
              </w:rPr>
              <w:t>Portfolio</w:t>
            </w:r>
          </w:p>
          <w:p w14:paraId="228C3087" w14:textId="03E3EACE" w:rsidR="001408FC" w:rsidRDefault="001408FC">
            <w:pPr>
              <w:rPr>
                <w:rFonts w:ascii="Cambria" w:eastAsia="Cambria" w:hAnsi="Cambria" w:cs="Cambria"/>
              </w:rPr>
            </w:pPr>
          </w:p>
        </w:tc>
      </w:tr>
      <w:tr w:rsidR="00B40A3C" w14:paraId="2146D2AA" w14:textId="77777777">
        <w:tc>
          <w:tcPr>
            <w:tcW w:w="6045" w:type="dxa"/>
          </w:tcPr>
          <w:p w14:paraId="698998EA" w14:textId="3D6657A1" w:rsidR="00B40A3C" w:rsidRDefault="002156C0">
            <w:pPr>
              <w:rPr>
                <w:rFonts w:ascii="Cambria" w:eastAsia="Cambria" w:hAnsi="Cambria" w:cs="Cambria"/>
              </w:rPr>
            </w:pPr>
            <w:r>
              <w:rPr>
                <w:rFonts w:ascii="Cambria" w:eastAsia="Cambria" w:hAnsi="Cambria" w:cs="Cambria"/>
              </w:rPr>
              <w:t xml:space="preserve">4. </w:t>
            </w:r>
            <w:r>
              <w:rPr>
                <w:rFonts w:ascii="Times New Roman" w:eastAsia="Times New Roman" w:hAnsi="Times New Roman" w:cs="Times New Roman"/>
                <w:sz w:val="14"/>
                <w:szCs w:val="14"/>
              </w:rPr>
              <w:t xml:space="preserve"> </w:t>
            </w:r>
            <w:r>
              <w:rPr>
                <w:rFonts w:ascii="Cambria" w:eastAsia="Cambria" w:hAnsi="Cambria" w:cs="Cambria"/>
              </w:rPr>
              <w:t xml:space="preserve">Candidates assess students’ learning, behavior, and the classroom environment </w:t>
            </w:r>
            <w:proofErr w:type="gramStart"/>
            <w:r>
              <w:rPr>
                <w:rFonts w:ascii="Cambria" w:eastAsia="Cambria" w:hAnsi="Cambria" w:cs="Cambria"/>
              </w:rPr>
              <w:t>in order to</w:t>
            </w:r>
            <w:proofErr w:type="gramEnd"/>
            <w:r>
              <w:rPr>
                <w:rFonts w:ascii="Cambria" w:eastAsia="Cambria" w:hAnsi="Cambria" w:cs="Cambria"/>
              </w:rPr>
              <w:t xml:space="preserve"> evaluate and support classroom and school-based problem-solving systems of intervention and instruction. Candidates evaluate students to determine their strengths and needs, contribute to students’ eligibility determination, communicate students’ progress, inform short and long-term instructional planning, and make ongoing adjustments to instruction using technology as appropriate. </w:t>
            </w:r>
          </w:p>
        </w:tc>
        <w:tc>
          <w:tcPr>
            <w:tcW w:w="4455" w:type="dxa"/>
          </w:tcPr>
          <w:p w14:paraId="5EBC3F05" w14:textId="77777777" w:rsidR="00B40A3C" w:rsidRDefault="002156C0">
            <w:pPr>
              <w:rPr>
                <w:rFonts w:ascii="Cambria" w:eastAsia="Cambria" w:hAnsi="Cambria" w:cs="Cambria"/>
              </w:rPr>
            </w:pPr>
            <w:r>
              <w:rPr>
                <w:rFonts w:ascii="Cambria" w:eastAsia="Cambria" w:hAnsi="Cambria" w:cs="Cambria"/>
              </w:rPr>
              <w:t>Practicum Observation Form</w:t>
            </w:r>
          </w:p>
          <w:p w14:paraId="76CA7FE0" w14:textId="77777777" w:rsidR="00B40A3C" w:rsidRDefault="002156C0">
            <w:pPr>
              <w:rPr>
                <w:rFonts w:ascii="Cambria" w:eastAsia="Cambria" w:hAnsi="Cambria" w:cs="Cambria"/>
              </w:rPr>
            </w:pPr>
            <w:r>
              <w:rPr>
                <w:rFonts w:ascii="Cambria" w:eastAsia="Cambria" w:hAnsi="Cambria" w:cs="Cambria"/>
              </w:rPr>
              <w:t>STOT</w:t>
            </w:r>
          </w:p>
          <w:p w14:paraId="5198A524" w14:textId="77777777" w:rsidR="00B40A3C" w:rsidRDefault="002156C0">
            <w:pPr>
              <w:rPr>
                <w:rFonts w:ascii="Cambria" w:eastAsia="Cambria" w:hAnsi="Cambria" w:cs="Cambria"/>
              </w:rPr>
            </w:pPr>
            <w:r>
              <w:rPr>
                <w:rFonts w:ascii="Cambria" w:eastAsia="Cambria" w:hAnsi="Cambria" w:cs="Cambria"/>
              </w:rPr>
              <w:t>IEP Project</w:t>
            </w:r>
          </w:p>
          <w:p w14:paraId="68043E27" w14:textId="77777777" w:rsidR="00B40A3C" w:rsidRDefault="002156C0">
            <w:pPr>
              <w:rPr>
                <w:rFonts w:ascii="Cambria" w:eastAsia="Cambria" w:hAnsi="Cambria" w:cs="Cambria"/>
              </w:rPr>
            </w:pPr>
            <w:r>
              <w:rPr>
                <w:rFonts w:ascii="Cambria" w:eastAsia="Cambria" w:hAnsi="Cambria" w:cs="Cambria"/>
              </w:rPr>
              <w:t>Case Study,</w:t>
            </w:r>
          </w:p>
          <w:p w14:paraId="05D1437A" w14:textId="77777777" w:rsidR="00B40A3C" w:rsidRDefault="002156C0">
            <w:pPr>
              <w:rPr>
                <w:rFonts w:ascii="Cambria" w:eastAsia="Cambria" w:hAnsi="Cambria" w:cs="Cambria"/>
              </w:rPr>
            </w:pPr>
            <w:r>
              <w:rPr>
                <w:rFonts w:ascii="Cambria" w:eastAsia="Cambria" w:hAnsi="Cambria" w:cs="Cambria"/>
              </w:rPr>
              <w:t>Transition Project</w:t>
            </w:r>
          </w:p>
          <w:p w14:paraId="4816429D" w14:textId="77777777" w:rsidR="00B40A3C" w:rsidRDefault="002156C0">
            <w:pPr>
              <w:rPr>
                <w:rFonts w:ascii="Cambria" w:eastAsia="Cambria" w:hAnsi="Cambria" w:cs="Cambria"/>
              </w:rPr>
            </w:pPr>
            <w:r>
              <w:rPr>
                <w:rFonts w:ascii="Cambria" w:eastAsia="Cambria" w:hAnsi="Cambria" w:cs="Cambria"/>
              </w:rPr>
              <w:t>Portfolio</w:t>
            </w:r>
          </w:p>
          <w:p w14:paraId="190649B8" w14:textId="59B380E7" w:rsidR="00B40A3C" w:rsidRDefault="00B40A3C">
            <w:pPr>
              <w:rPr>
                <w:rFonts w:ascii="Cambria" w:eastAsia="Cambria" w:hAnsi="Cambria" w:cs="Cambria"/>
              </w:rPr>
            </w:pPr>
          </w:p>
        </w:tc>
      </w:tr>
      <w:tr w:rsidR="00B40A3C" w14:paraId="36028D73" w14:textId="77777777">
        <w:trPr>
          <w:trHeight w:val="1650"/>
        </w:trPr>
        <w:tc>
          <w:tcPr>
            <w:tcW w:w="6045" w:type="dxa"/>
          </w:tcPr>
          <w:p w14:paraId="7B33F812" w14:textId="58336500" w:rsidR="00B40A3C" w:rsidRDefault="002156C0">
            <w:pPr>
              <w:rPr>
                <w:rFonts w:ascii="Cambria" w:eastAsia="Cambria" w:hAnsi="Cambria" w:cs="Cambria"/>
              </w:rPr>
            </w:pPr>
            <w:r>
              <w:rPr>
                <w:rFonts w:ascii="Cambria" w:eastAsia="Cambria" w:hAnsi="Cambria" w:cs="Cambria"/>
              </w:rPr>
              <w:t xml:space="preserve">5. </w:t>
            </w:r>
            <w:r>
              <w:rPr>
                <w:rFonts w:ascii="Times New Roman" w:eastAsia="Times New Roman" w:hAnsi="Times New Roman" w:cs="Times New Roman"/>
                <w:sz w:val="14"/>
                <w:szCs w:val="14"/>
              </w:rPr>
              <w:t xml:space="preserve"> </w:t>
            </w:r>
            <w:r>
              <w:rPr>
                <w:rFonts w:ascii="Cambria" w:eastAsia="Cambria" w:hAnsi="Cambria" w:cs="Cambria"/>
              </w:rPr>
              <w:t xml:space="preserve">Candidates use knowledge of individuals’ development, learning needs, and assessment data to inform decisions about effective instruction. Candidates use explicit instructional strategies and employ strategies to promote active engagement and </w:t>
            </w:r>
            <w:proofErr w:type="gramStart"/>
            <w:r>
              <w:rPr>
                <w:rFonts w:ascii="Cambria" w:eastAsia="Cambria" w:hAnsi="Cambria" w:cs="Cambria"/>
              </w:rPr>
              <w:t>increased</w:t>
            </w:r>
            <w:proofErr w:type="gramEnd"/>
            <w:r>
              <w:rPr>
                <w:rFonts w:ascii="Cambria" w:eastAsia="Cambria" w:hAnsi="Cambria" w:cs="Cambria"/>
              </w:rPr>
              <w:t xml:space="preserve"> motivation to individualize instruction to support </w:t>
            </w:r>
            <w:proofErr w:type="gramStart"/>
            <w:r>
              <w:rPr>
                <w:rFonts w:ascii="Cambria" w:eastAsia="Cambria" w:hAnsi="Cambria" w:cs="Cambria"/>
              </w:rPr>
              <w:t>each individual</w:t>
            </w:r>
            <w:proofErr w:type="gramEnd"/>
            <w:r>
              <w:rPr>
                <w:rFonts w:ascii="Cambria" w:eastAsia="Cambria" w:hAnsi="Cambria" w:cs="Cambria"/>
              </w:rPr>
              <w:t xml:space="preserve">. Candidates use whole group instruction, flexible grouping, small group instruction, and individual instruction. Candidates teach individuals to use meta-/cognitive strategies to support and self-regulate learning. </w:t>
            </w:r>
          </w:p>
        </w:tc>
        <w:tc>
          <w:tcPr>
            <w:tcW w:w="4455" w:type="dxa"/>
          </w:tcPr>
          <w:p w14:paraId="13C0BCCF" w14:textId="77777777" w:rsidR="00B40A3C" w:rsidRDefault="002156C0">
            <w:pPr>
              <w:rPr>
                <w:rFonts w:ascii="Cambria" w:eastAsia="Cambria" w:hAnsi="Cambria" w:cs="Cambria"/>
              </w:rPr>
            </w:pPr>
            <w:r>
              <w:rPr>
                <w:rFonts w:ascii="Cambria" w:eastAsia="Cambria" w:hAnsi="Cambria" w:cs="Cambria"/>
              </w:rPr>
              <w:t>STOT</w:t>
            </w:r>
          </w:p>
          <w:p w14:paraId="641804D3" w14:textId="77777777" w:rsidR="00B40A3C" w:rsidRDefault="002156C0">
            <w:pPr>
              <w:rPr>
                <w:rFonts w:ascii="Cambria" w:eastAsia="Cambria" w:hAnsi="Cambria" w:cs="Cambria"/>
              </w:rPr>
            </w:pPr>
            <w:r>
              <w:rPr>
                <w:rFonts w:ascii="Cambria" w:eastAsia="Cambria" w:hAnsi="Cambria" w:cs="Cambria"/>
              </w:rPr>
              <w:t>Practicum Observation Form</w:t>
            </w:r>
          </w:p>
          <w:p w14:paraId="087DF244" w14:textId="77777777" w:rsidR="00B40A3C" w:rsidRDefault="002156C0">
            <w:pPr>
              <w:rPr>
                <w:rFonts w:ascii="Cambria" w:eastAsia="Cambria" w:hAnsi="Cambria" w:cs="Cambria"/>
              </w:rPr>
            </w:pPr>
            <w:r>
              <w:rPr>
                <w:rFonts w:ascii="Cambria" w:eastAsia="Cambria" w:hAnsi="Cambria" w:cs="Cambria"/>
              </w:rPr>
              <w:t>IEP Project</w:t>
            </w:r>
          </w:p>
          <w:p w14:paraId="62C3C57C" w14:textId="77777777" w:rsidR="00B40A3C" w:rsidRDefault="002156C0">
            <w:pPr>
              <w:rPr>
                <w:rFonts w:ascii="Cambria" w:eastAsia="Cambria" w:hAnsi="Cambria" w:cs="Cambria"/>
              </w:rPr>
            </w:pPr>
            <w:r>
              <w:rPr>
                <w:rFonts w:ascii="Cambria" w:eastAsia="Cambria" w:hAnsi="Cambria" w:cs="Cambria"/>
              </w:rPr>
              <w:t>Case Study,</w:t>
            </w:r>
          </w:p>
          <w:p w14:paraId="0B7C1B63" w14:textId="77777777" w:rsidR="00B40A3C" w:rsidRDefault="002156C0">
            <w:pPr>
              <w:rPr>
                <w:rFonts w:ascii="Cambria" w:eastAsia="Cambria" w:hAnsi="Cambria" w:cs="Cambria"/>
              </w:rPr>
            </w:pPr>
            <w:r>
              <w:rPr>
                <w:rFonts w:ascii="Cambria" w:eastAsia="Cambria" w:hAnsi="Cambria" w:cs="Cambria"/>
              </w:rPr>
              <w:t>Transition Project</w:t>
            </w:r>
          </w:p>
          <w:p w14:paraId="333369AD" w14:textId="77777777" w:rsidR="00B40A3C" w:rsidRDefault="002156C0">
            <w:pPr>
              <w:rPr>
                <w:rFonts w:ascii="Cambria" w:eastAsia="Cambria" w:hAnsi="Cambria" w:cs="Cambria"/>
              </w:rPr>
            </w:pPr>
            <w:r>
              <w:rPr>
                <w:rFonts w:ascii="Cambria" w:eastAsia="Cambria" w:hAnsi="Cambria" w:cs="Cambria"/>
              </w:rPr>
              <w:t>Portfolio</w:t>
            </w:r>
          </w:p>
          <w:p w14:paraId="5669DAFA" w14:textId="5665143B" w:rsidR="00B40A3C" w:rsidRDefault="00B40A3C">
            <w:pPr>
              <w:rPr>
                <w:rFonts w:ascii="Cambria" w:eastAsia="Cambria" w:hAnsi="Cambria" w:cs="Cambria"/>
              </w:rPr>
            </w:pPr>
          </w:p>
        </w:tc>
      </w:tr>
      <w:tr w:rsidR="00B40A3C" w14:paraId="524FF45A" w14:textId="77777777">
        <w:trPr>
          <w:trHeight w:val="1170"/>
        </w:trPr>
        <w:tc>
          <w:tcPr>
            <w:tcW w:w="6045" w:type="dxa"/>
          </w:tcPr>
          <w:p w14:paraId="68F678D2" w14:textId="67092CBF" w:rsidR="00E23634" w:rsidRDefault="002156C0">
            <w:pPr>
              <w:rPr>
                <w:rFonts w:ascii="Cambria" w:eastAsia="Cambria" w:hAnsi="Cambria" w:cs="Cambria"/>
              </w:rPr>
            </w:pPr>
            <w:r>
              <w:rPr>
                <w:rFonts w:ascii="Cambria" w:eastAsia="Cambria" w:hAnsi="Cambria" w:cs="Cambria"/>
              </w:rPr>
              <w:t xml:space="preserve">6.  Candidates create and contribute to safe, respectful, and productive learning environments for individuals with exceptionalities </w:t>
            </w:r>
            <w:proofErr w:type="gramStart"/>
            <w:r>
              <w:rPr>
                <w:rFonts w:ascii="Cambria" w:eastAsia="Cambria" w:hAnsi="Cambria" w:cs="Cambria"/>
              </w:rPr>
              <w:t>through the use of</w:t>
            </w:r>
            <w:proofErr w:type="gramEnd"/>
            <w:r>
              <w:rPr>
                <w:rFonts w:ascii="Cambria" w:eastAsia="Cambria" w:hAnsi="Cambria" w:cs="Cambria"/>
              </w:rPr>
              <w:t xml:space="preserve"> effective routines and procedures and use a range of preventive and responsive practices to support social, emotional and educational well-being. They follow ethical and legal guidelines and work </w:t>
            </w:r>
            <w:r>
              <w:rPr>
                <w:rFonts w:ascii="Cambria" w:eastAsia="Cambria" w:hAnsi="Cambria" w:cs="Cambria"/>
              </w:rPr>
              <w:lastRenderedPageBreak/>
              <w:t>collaboratively with families and other professionals to conduct behavioral assessments for intervention and program development.</w:t>
            </w:r>
          </w:p>
        </w:tc>
        <w:tc>
          <w:tcPr>
            <w:tcW w:w="4455" w:type="dxa"/>
          </w:tcPr>
          <w:p w14:paraId="5285EE19" w14:textId="77777777" w:rsidR="00B40A3C" w:rsidRDefault="002156C0">
            <w:pPr>
              <w:rPr>
                <w:rFonts w:ascii="Cambria" w:eastAsia="Cambria" w:hAnsi="Cambria" w:cs="Cambria"/>
              </w:rPr>
            </w:pPr>
            <w:r>
              <w:rPr>
                <w:rFonts w:ascii="Cambria" w:eastAsia="Cambria" w:hAnsi="Cambria" w:cs="Cambria"/>
              </w:rPr>
              <w:lastRenderedPageBreak/>
              <w:t>STOT</w:t>
            </w:r>
          </w:p>
          <w:p w14:paraId="770C1ECE" w14:textId="77777777" w:rsidR="00B40A3C" w:rsidRDefault="002156C0">
            <w:pPr>
              <w:rPr>
                <w:rFonts w:ascii="Cambria" w:eastAsia="Cambria" w:hAnsi="Cambria" w:cs="Cambria"/>
              </w:rPr>
            </w:pPr>
            <w:r>
              <w:rPr>
                <w:rFonts w:ascii="Cambria" w:eastAsia="Cambria" w:hAnsi="Cambria" w:cs="Cambria"/>
              </w:rPr>
              <w:t>Practicum Observation Form</w:t>
            </w:r>
          </w:p>
          <w:p w14:paraId="2706A9FE" w14:textId="77777777" w:rsidR="00B40A3C" w:rsidRDefault="002156C0">
            <w:pPr>
              <w:rPr>
                <w:rFonts w:ascii="Cambria" w:eastAsia="Cambria" w:hAnsi="Cambria" w:cs="Cambria"/>
              </w:rPr>
            </w:pPr>
            <w:r>
              <w:rPr>
                <w:rFonts w:ascii="Cambria" w:eastAsia="Cambria" w:hAnsi="Cambria" w:cs="Cambria"/>
              </w:rPr>
              <w:t>IEP Project</w:t>
            </w:r>
          </w:p>
          <w:p w14:paraId="45B43124" w14:textId="77777777" w:rsidR="00B40A3C" w:rsidRDefault="002156C0">
            <w:pPr>
              <w:rPr>
                <w:rFonts w:ascii="Cambria" w:eastAsia="Cambria" w:hAnsi="Cambria" w:cs="Cambria"/>
              </w:rPr>
            </w:pPr>
            <w:r>
              <w:rPr>
                <w:rFonts w:ascii="Cambria" w:eastAsia="Cambria" w:hAnsi="Cambria" w:cs="Cambria"/>
              </w:rPr>
              <w:t>Case Study,</w:t>
            </w:r>
          </w:p>
          <w:p w14:paraId="2CCE10F0" w14:textId="77777777" w:rsidR="00B40A3C" w:rsidRDefault="002156C0">
            <w:pPr>
              <w:rPr>
                <w:rFonts w:ascii="Cambria" w:eastAsia="Cambria" w:hAnsi="Cambria" w:cs="Cambria"/>
              </w:rPr>
            </w:pPr>
            <w:r>
              <w:rPr>
                <w:rFonts w:ascii="Cambria" w:eastAsia="Cambria" w:hAnsi="Cambria" w:cs="Cambria"/>
              </w:rPr>
              <w:t>Transition Project</w:t>
            </w:r>
          </w:p>
          <w:p w14:paraId="786C9F60" w14:textId="77777777" w:rsidR="00B40A3C" w:rsidRDefault="002156C0">
            <w:pPr>
              <w:rPr>
                <w:rFonts w:ascii="Cambria" w:eastAsia="Cambria" w:hAnsi="Cambria" w:cs="Cambria"/>
              </w:rPr>
            </w:pPr>
            <w:r>
              <w:rPr>
                <w:rFonts w:ascii="Cambria" w:eastAsia="Cambria" w:hAnsi="Cambria" w:cs="Cambria"/>
              </w:rPr>
              <w:t>Portfolio</w:t>
            </w:r>
          </w:p>
          <w:p w14:paraId="632D0CC6" w14:textId="77777777" w:rsidR="00B40A3C" w:rsidRDefault="002156C0">
            <w:pPr>
              <w:rPr>
                <w:rFonts w:ascii="Cambria" w:eastAsia="Cambria" w:hAnsi="Cambria" w:cs="Cambria"/>
              </w:rPr>
            </w:pPr>
            <w:r>
              <w:rPr>
                <w:rFonts w:ascii="Cambria" w:eastAsia="Cambria" w:hAnsi="Cambria" w:cs="Cambria"/>
              </w:rPr>
              <w:lastRenderedPageBreak/>
              <w:t>PCA</w:t>
            </w:r>
          </w:p>
        </w:tc>
      </w:tr>
      <w:tr w:rsidR="00B40A3C" w14:paraId="55171065" w14:textId="77777777">
        <w:trPr>
          <w:trHeight w:val="1650"/>
        </w:trPr>
        <w:tc>
          <w:tcPr>
            <w:tcW w:w="6045" w:type="dxa"/>
          </w:tcPr>
          <w:p w14:paraId="605DF42A" w14:textId="77777777" w:rsidR="00B40A3C" w:rsidRDefault="002156C0">
            <w:pPr>
              <w:rPr>
                <w:rFonts w:ascii="Cambria" w:eastAsia="Cambria" w:hAnsi="Cambria" w:cs="Cambria"/>
              </w:rPr>
            </w:pPr>
            <w:r>
              <w:rPr>
                <w:rFonts w:ascii="Cambria" w:eastAsia="Cambria" w:hAnsi="Cambria" w:cs="Cambria"/>
              </w:rPr>
              <w:lastRenderedPageBreak/>
              <w:t xml:space="preserve">7. Candidates apply team processes and communication strategies to collaborate in a culturally responsive manner with families, paraprofessionals, and other professionals within the school, other educational settings, and the community to plan programs and access services for individuals with exceptionalities and their families. </w:t>
            </w:r>
          </w:p>
          <w:p w14:paraId="0F6CD670" w14:textId="77777777" w:rsidR="00B40A3C" w:rsidRDefault="00B40A3C">
            <w:pPr>
              <w:rPr>
                <w:rFonts w:ascii="Cambria" w:eastAsia="Cambria" w:hAnsi="Cambria" w:cs="Cambria"/>
              </w:rPr>
            </w:pPr>
          </w:p>
        </w:tc>
        <w:tc>
          <w:tcPr>
            <w:tcW w:w="4455" w:type="dxa"/>
          </w:tcPr>
          <w:p w14:paraId="5D6B3EBB" w14:textId="77777777" w:rsidR="00B40A3C" w:rsidRDefault="002156C0">
            <w:pPr>
              <w:rPr>
                <w:rFonts w:ascii="Cambria" w:eastAsia="Cambria" w:hAnsi="Cambria" w:cs="Cambria"/>
              </w:rPr>
            </w:pPr>
            <w:r>
              <w:rPr>
                <w:rFonts w:ascii="Cambria" w:eastAsia="Cambria" w:hAnsi="Cambria" w:cs="Cambria"/>
              </w:rPr>
              <w:t>STOT</w:t>
            </w:r>
          </w:p>
          <w:p w14:paraId="7652870A" w14:textId="77777777" w:rsidR="00B40A3C" w:rsidRDefault="002156C0">
            <w:pPr>
              <w:rPr>
                <w:rFonts w:ascii="Cambria" w:eastAsia="Cambria" w:hAnsi="Cambria" w:cs="Cambria"/>
              </w:rPr>
            </w:pPr>
            <w:r>
              <w:rPr>
                <w:rFonts w:ascii="Cambria" w:eastAsia="Cambria" w:hAnsi="Cambria" w:cs="Cambria"/>
              </w:rPr>
              <w:t>PCA</w:t>
            </w:r>
          </w:p>
          <w:p w14:paraId="5713752E" w14:textId="77777777" w:rsidR="00B40A3C" w:rsidRDefault="002156C0">
            <w:pPr>
              <w:rPr>
                <w:rFonts w:ascii="Cambria" w:eastAsia="Cambria" w:hAnsi="Cambria" w:cs="Cambria"/>
              </w:rPr>
            </w:pPr>
            <w:r>
              <w:rPr>
                <w:rFonts w:ascii="Cambria" w:eastAsia="Cambria" w:hAnsi="Cambria" w:cs="Cambria"/>
              </w:rPr>
              <w:t>Practicum Observation Form</w:t>
            </w:r>
          </w:p>
          <w:p w14:paraId="20834AF1" w14:textId="77777777" w:rsidR="00B40A3C" w:rsidRDefault="002156C0">
            <w:pPr>
              <w:rPr>
                <w:rFonts w:ascii="Cambria" w:eastAsia="Cambria" w:hAnsi="Cambria" w:cs="Cambria"/>
              </w:rPr>
            </w:pPr>
            <w:r>
              <w:rPr>
                <w:rFonts w:ascii="Cambria" w:eastAsia="Cambria" w:hAnsi="Cambria" w:cs="Cambria"/>
              </w:rPr>
              <w:t>IEP Project</w:t>
            </w:r>
          </w:p>
          <w:p w14:paraId="67DEC23C" w14:textId="77777777" w:rsidR="00B40A3C" w:rsidRDefault="002156C0">
            <w:pPr>
              <w:rPr>
                <w:rFonts w:ascii="Cambria" w:eastAsia="Cambria" w:hAnsi="Cambria" w:cs="Cambria"/>
              </w:rPr>
            </w:pPr>
            <w:r>
              <w:rPr>
                <w:rFonts w:ascii="Cambria" w:eastAsia="Cambria" w:hAnsi="Cambria" w:cs="Cambria"/>
              </w:rPr>
              <w:t>Case Study,</w:t>
            </w:r>
          </w:p>
          <w:p w14:paraId="67CE6AF6" w14:textId="77777777" w:rsidR="00B40A3C" w:rsidRDefault="002156C0">
            <w:pPr>
              <w:rPr>
                <w:rFonts w:ascii="Cambria" w:eastAsia="Cambria" w:hAnsi="Cambria" w:cs="Cambria"/>
              </w:rPr>
            </w:pPr>
            <w:r>
              <w:rPr>
                <w:rFonts w:ascii="Cambria" w:eastAsia="Cambria" w:hAnsi="Cambria" w:cs="Cambria"/>
              </w:rPr>
              <w:t>Transition Project</w:t>
            </w:r>
          </w:p>
          <w:p w14:paraId="74EA402C" w14:textId="77777777" w:rsidR="00B40A3C" w:rsidRDefault="002156C0">
            <w:pPr>
              <w:rPr>
                <w:rFonts w:ascii="Cambria" w:eastAsia="Cambria" w:hAnsi="Cambria" w:cs="Cambria"/>
              </w:rPr>
            </w:pPr>
            <w:r>
              <w:rPr>
                <w:rFonts w:ascii="Cambria" w:eastAsia="Cambria" w:hAnsi="Cambria" w:cs="Cambria"/>
              </w:rPr>
              <w:t>Portfolio</w:t>
            </w:r>
          </w:p>
          <w:p w14:paraId="59ACCBE6" w14:textId="46ED0CD4" w:rsidR="00B40A3C" w:rsidRDefault="00B40A3C">
            <w:pPr>
              <w:rPr>
                <w:rFonts w:ascii="Cambria" w:eastAsia="Cambria" w:hAnsi="Cambria" w:cs="Cambria"/>
              </w:rPr>
            </w:pPr>
          </w:p>
        </w:tc>
      </w:tr>
      <w:tr w:rsidR="00B40A3C" w14:paraId="43AE75A6" w14:textId="77777777">
        <w:tc>
          <w:tcPr>
            <w:tcW w:w="6045" w:type="dxa"/>
            <w:shd w:val="clear" w:color="auto" w:fill="B7DDE8"/>
          </w:tcPr>
          <w:p w14:paraId="70DCC45C" w14:textId="77777777" w:rsidR="00B40A3C" w:rsidRDefault="00B40A3C">
            <w:pPr>
              <w:rPr>
                <w:rFonts w:ascii="Cambria" w:eastAsia="Cambria" w:hAnsi="Cambria" w:cs="Cambria"/>
              </w:rPr>
            </w:pPr>
          </w:p>
        </w:tc>
        <w:tc>
          <w:tcPr>
            <w:tcW w:w="4455" w:type="dxa"/>
            <w:shd w:val="clear" w:color="auto" w:fill="B7DDE8"/>
          </w:tcPr>
          <w:p w14:paraId="6065FD2C" w14:textId="77777777" w:rsidR="00B40A3C" w:rsidRDefault="00B40A3C">
            <w:pPr>
              <w:rPr>
                <w:rFonts w:ascii="Cambria" w:eastAsia="Cambria" w:hAnsi="Cambria" w:cs="Cambria"/>
              </w:rPr>
            </w:pPr>
          </w:p>
        </w:tc>
      </w:tr>
      <w:tr w:rsidR="00B40A3C" w14:paraId="4D9846BF" w14:textId="77777777">
        <w:tc>
          <w:tcPr>
            <w:tcW w:w="10500" w:type="dxa"/>
            <w:gridSpan w:val="2"/>
          </w:tcPr>
          <w:p w14:paraId="16E43407" w14:textId="77777777" w:rsidR="00B40A3C" w:rsidRDefault="002156C0">
            <w:pPr>
              <w:rPr>
                <w:rFonts w:ascii="Cambria" w:eastAsia="Cambria" w:hAnsi="Cambria" w:cs="Cambria"/>
                <w:b/>
              </w:rPr>
            </w:pPr>
            <w:r>
              <w:rPr>
                <w:rFonts w:ascii="Cambria" w:eastAsia="Cambria" w:hAnsi="Cambria" w:cs="Cambria"/>
                <w:b/>
              </w:rPr>
              <w:t>Timeline</w:t>
            </w:r>
          </w:p>
          <w:p w14:paraId="4BACB866" w14:textId="77777777" w:rsidR="00B40A3C" w:rsidRDefault="002156C0">
            <w:pPr>
              <w:numPr>
                <w:ilvl w:val="0"/>
                <w:numId w:val="1"/>
              </w:numPr>
              <w:pBdr>
                <w:top w:val="nil"/>
                <w:left w:val="nil"/>
                <w:bottom w:val="nil"/>
                <w:right w:val="nil"/>
                <w:between w:val="nil"/>
              </w:pBdr>
              <w:rPr>
                <w:rFonts w:ascii="Cambria" w:eastAsia="Cambria" w:hAnsi="Cambria" w:cs="Cambria"/>
                <w:color w:val="000000"/>
              </w:rPr>
            </w:pPr>
            <w:r>
              <w:rPr>
                <w:rFonts w:ascii="Cambria" w:eastAsia="Cambria" w:hAnsi="Cambria" w:cs="Cambria"/>
                <w:color w:val="000000"/>
              </w:rPr>
              <w:t>Academic Year 2023/</w:t>
            </w:r>
            <w:r>
              <w:rPr>
                <w:rFonts w:ascii="Cambria" w:eastAsia="Cambria" w:hAnsi="Cambria" w:cs="Cambria"/>
              </w:rPr>
              <w:t>2024</w:t>
            </w:r>
            <w:r>
              <w:rPr>
                <w:rFonts w:ascii="Cambria" w:eastAsia="Cambria" w:hAnsi="Cambria" w:cs="Cambria"/>
                <w:color w:val="000000"/>
              </w:rPr>
              <w:t xml:space="preserve">, Last Five-Year Program Review  </w:t>
            </w:r>
          </w:p>
          <w:p w14:paraId="3C2B0250" w14:textId="0114019D" w:rsidR="00B40A3C" w:rsidRDefault="002156C0">
            <w:pPr>
              <w:numPr>
                <w:ilvl w:val="0"/>
                <w:numId w:val="1"/>
              </w:numPr>
              <w:pBdr>
                <w:top w:val="nil"/>
                <w:left w:val="nil"/>
                <w:bottom w:val="nil"/>
                <w:right w:val="nil"/>
                <w:between w:val="nil"/>
              </w:pBdr>
              <w:rPr>
                <w:rFonts w:ascii="Cambria" w:eastAsia="Cambria" w:hAnsi="Cambria" w:cs="Cambria"/>
              </w:rPr>
            </w:pPr>
            <w:r>
              <w:rPr>
                <w:rFonts w:ascii="Cambria" w:eastAsia="Cambria" w:hAnsi="Cambria" w:cs="Cambria"/>
                <w:color w:val="000000"/>
              </w:rPr>
              <w:t>Academic Year 2024/2025, due Spring 2025 – will assess</w:t>
            </w:r>
            <w:r>
              <w:rPr>
                <w:rFonts w:ascii="Cambria" w:eastAsia="Cambria" w:hAnsi="Cambria" w:cs="Cambria"/>
              </w:rPr>
              <w:t xml:space="preserve"> entire set of PLOs</w:t>
            </w:r>
          </w:p>
          <w:p w14:paraId="5904880F" w14:textId="77777777" w:rsidR="00B40A3C" w:rsidRDefault="002156C0">
            <w:pPr>
              <w:numPr>
                <w:ilvl w:val="0"/>
                <w:numId w:val="1"/>
              </w:numPr>
              <w:pBdr>
                <w:top w:val="nil"/>
                <w:left w:val="nil"/>
                <w:bottom w:val="nil"/>
                <w:right w:val="nil"/>
                <w:between w:val="nil"/>
              </w:pBdr>
              <w:rPr>
                <w:rFonts w:ascii="Cambria" w:eastAsia="Cambria" w:hAnsi="Cambria" w:cs="Cambria"/>
              </w:rPr>
            </w:pPr>
            <w:r>
              <w:rPr>
                <w:rFonts w:ascii="Cambria" w:eastAsia="Cambria" w:hAnsi="Cambria" w:cs="Cambria"/>
              </w:rPr>
              <w:t>Academic Year 2025/2026 due Spring 2026- will assess entire set of PLOs</w:t>
            </w:r>
          </w:p>
          <w:p w14:paraId="1DE48EDA" w14:textId="77777777" w:rsidR="00B40A3C" w:rsidRDefault="002156C0">
            <w:pPr>
              <w:numPr>
                <w:ilvl w:val="0"/>
                <w:numId w:val="1"/>
              </w:numPr>
              <w:pBdr>
                <w:top w:val="nil"/>
                <w:left w:val="nil"/>
                <w:bottom w:val="nil"/>
                <w:right w:val="nil"/>
                <w:between w:val="nil"/>
              </w:pBdr>
              <w:rPr>
                <w:rFonts w:ascii="Cambria" w:eastAsia="Cambria" w:hAnsi="Cambria" w:cs="Cambria"/>
              </w:rPr>
            </w:pPr>
            <w:r>
              <w:rPr>
                <w:rFonts w:ascii="Cambria" w:eastAsia="Cambria" w:hAnsi="Cambria" w:cs="Cambria"/>
              </w:rPr>
              <w:t>Academic Year 2026/2027 due Spring 2027 - will assess entire set of PLOs</w:t>
            </w:r>
          </w:p>
          <w:p w14:paraId="64490E25" w14:textId="77777777" w:rsidR="00B40A3C" w:rsidRDefault="002156C0">
            <w:pPr>
              <w:numPr>
                <w:ilvl w:val="0"/>
                <w:numId w:val="1"/>
              </w:numPr>
              <w:pBdr>
                <w:top w:val="nil"/>
                <w:left w:val="nil"/>
                <w:bottom w:val="nil"/>
                <w:right w:val="nil"/>
                <w:between w:val="nil"/>
              </w:pBdr>
              <w:rPr>
                <w:rFonts w:ascii="Cambria" w:eastAsia="Cambria" w:hAnsi="Cambria" w:cs="Cambria"/>
              </w:rPr>
            </w:pPr>
            <w:r>
              <w:rPr>
                <w:rFonts w:ascii="Cambria" w:eastAsia="Cambria" w:hAnsi="Cambria" w:cs="Cambria"/>
              </w:rPr>
              <w:t>Academic Year 2027/2028 due Spring 2028 - will assess entire set of PLOs</w:t>
            </w:r>
          </w:p>
          <w:p w14:paraId="61B0902F" w14:textId="778E91AA" w:rsidR="00B40A3C" w:rsidRDefault="002156C0">
            <w:pPr>
              <w:numPr>
                <w:ilvl w:val="0"/>
                <w:numId w:val="1"/>
              </w:numPr>
              <w:pBdr>
                <w:top w:val="nil"/>
                <w:left w:val="nil"/>
                <w:bottom w:val="nil"/>
                <w:right w:val="nil"/>
                <w:between w:val="nil"/>
              </w:pBdr>
              <w:rPr>
                <w:rFonts w:ascii="Cambria" w:eastAsia="Cambria" w:hAnsi="Cambria" w:cs="Cambria"/>
              </w:rPr>
            </w:pPr>
            <w:r>
              <w:rPr>
                <w:rFonts w:ascii="Cambria" w:eastAsia="Cambria" w:hAnsi="Cambria" w:cs="Cambria"/>
                <w:color w:val="000000"/>
              </w:rPr>
              <w:t>Academic Year 2028/202</w:t>
            </w:r>
            <w:r>
              <w:rPr>
                <w:rFonts w:ascii="Cambria" w:eastAsia="Cambria" w:hAnsi="Cambria" w:cs="Cambria"/>
              </w:rPr>
              <w:t>9</w:t>
            </w:r>
            <w:r>
              <w:rPr>
                <w:rFonts w:ascii="Cambria" w:eastAsia="Cambria" w:hAnsi="Cambria" w:cs="Cambria"/>
                <w:color w:val="000000"/>
              </w:rPr>
              <w:t xml:space="preserve">, </w:t>
            </w:r>
            <w:r>
              <w:rPr>
                <w:rFonts w:ascii="Cambria" w:eastAsia="Cambria" w:hAnsi="Cambria" w:cs="Cambria"/>
              </w:rPr>
              <w:t xml:space="preserve">Next </w:t>
            </w:r>
            <w:r>
              <w:rPr>
                <w:rFonts w:ascii="Cambria" w:eastAsia="Cambria" w:hAnsi="Cambria" w:cs="Cambria"/>
                <w:color w:val="000000"/>
              </w:rPr>
              <w:t>Five-Year Program Review scheduled.  No annual program assessment report due</w:t>
            </w:r>
          </w:p>
        </w:tc>
      </w:tr>
    </w:tbl>
    <w:p w14:paraId="65DEE7E6" w14:textId="77777777" w:rsidR="00B40A3C" w:rsidRDefault="00B40A3C">
      <w:pPr>
        <w:pBdr>
          <w:top w:val="nil"/>
          <w:left w:val="nil"/>
          <w:bottom w:val="nil"/>
          <w:right w:val="nil"/>
          <w:between w:val="nil"/>
        </w:pBdr>
        <w:spacing w:before="250"/>
        <w:rPr>
          <w:color w:val="000000"/>
          <w:sz w:val="28"/>
          <w:szCs w:val="28"/>
        </w:rPr>
      </w:pPr>
    </w:p>
    <w:sectPr w:rsidR="00B40A3C">
      <w:pgSz w:w="12240" w:h="15840"/>
      <w:pgMar w:top="1440" w:right="864" w:bottom="691" w:left="864"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7643EB5"/>
    <w:multiLevelType w:val="multilevel"/>
    <w:tmpl w:val="B4E41A6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16cid:durableId="28639302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40A3C"/>
    <w:rsid w:val="00086670"/>
    <w:rsid w:val="001408FC"/>
    <w:rsid w:val="002156C0"/>
    <w:rsid w:val="004865C5"/>
    <w:rsid w:val="006325A5"/>
    <w:rsid w:val="00633794"/>
    <w:rsid w:val="00863DD0"/>
    <w:rsid w:val="00B40A3C"/>
    <w:rsid w:val="00E23634"/>
    <w:rsid w:val="00F64323"/>
    <w:rsid w:val="00F8508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3EFD5F"/>
  <w15:docId w15:val="{3625B962-8B20-4D0A-AE02-39B9139752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US" w:eastAsia="en-US"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uiPriority w:val="9"/>
    <w:qFormat/>
    <w:pPr>
      <w:ind w:left="100"/>
      <w:outlineLvl w:val="0"/>
    </w:pPr>
    <w:rPr>
      <w:b/>
      <w:bCs/>
      <w:sz w:val="28"/>
      <w:szCs w:val="2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uiPriority w:val="10"/>
    <w:qFormat/>
    <w:pPr>
      <w:spacing w:before="1"/>
      <w:ind w:left="100"/>
    </w:pPr>
    <w:rPr>
      <w:b/>
      <w:bCs/>
      <w:sz w:val="32"/>
      <w:szCs w:val="32"/>
    </w:rPr>
  </w:style>
  <w:style w:type="paragraph" w:styleId="BodyText">
    <w:name w:val="Body Text"/>
    <w:basedOn w:val="Normal"/>
    <w:uiPriority w:val="1"/>
    <w:qFormat/>
    <w:pPr>
      <w:spacing w:before="250"/>
    </w:pPr>
    <w:rPr>
      <w:sz w:val="28"/>
      <w:szCs w:val="28"/>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table" w:styleId="TableGrid">
    <w:name w:val="Table Grid"/>
    <w:basedOn w:val="TableNormal"/>
    <w:uiPriority w:val="39"/>
    <w:rsid w:val="00BF4E1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AD7CA9"/>
    <w:rPr>
      <w:sz w:val="16"/>
      <w:szCs w:val="16"/>
    </w:rPr>
  </w:style>
  <w:style w:type="paragraph" w:styleId="CommentText">
    <w:name w:val="annotation text"/>
    <w:basedOn w:val="Normal"/>
    <w:link w:val="CommentTextChar"/>
    <w:uiPriority w:val="99"/>
    <w:semiHidden/>
    <w:unhideWhenUsed/>
    <w:rsid w:val="00AD7CA9"/>
    <w:rPr>
      <w:sz w:val="20"/>
      <w:szCs w:val="20"/>
    </w:rPr>
  </w:style>
  <w:style w:type="character" w:customStyle="1" w:styleId="CommentTextChar">
    <w:name w:val="Comment Text Char"/>
    <w:basedOn w:val="DefaultParagraphFont"/>
    <w:link w:val="CommentText"/>
    <w:uiPriority w:val="99"/>
    <w:semiHidden/>
    <w:rsid w:val="00AD7CA9"/>
    <w:rPr>
      <w:rFonts w:ascii="Arial" w:eastAsia="Arial" w:hAnsi="Arial" w:cs="Arial"/>
      <w:sz w:val="20"/>
      <w:szCs w:val="20"/>
    </w:rPr>
  </w:style>
  <w:style w:type="paragraph" w:styleId="CommentSubject">
    <w:name w:val="annotation subject"/>
    <w:basedOn w:val="CommentText"/>
    <w:next w:val="CommentText"/>
    <w:link w:val="CommentSubjectChar"/>
    <w:uiPriority w:val="99"/>
    <w:semiHidden/>
    <w:unhideWhenUsed/>
    <w:rsid w:val="00AD7CA9"/>
    <w:rPr>
      <w:b/>
      <w:bCs/>
    </w:rPr>
  </w:style>
  <w:style w:type="character" w:customStyle="1" w:styleId="CommentSubjectChar">
    <w:name w:val="Comment Subject Char"/>
    <w:basedOn w:val="CommentTextChar"/>
    <w:link w:val="CommentSubject"/>
    <w:uiPriority w:val="99"/>
    <w:semiHidden/>
    <w:rsid w:val="00AD7CA9"/>
    <w:rPr>
      <w:rFonts w:ascii="Arial" w:eastAsia="Arial" w:hAnsi="Arial" w:cs="Arial"/>
      <w:b/>
      <w:bCs/>
      <w:sz w:val="20"/>
      <w:szCs w:val="20"/>
    </w:rPr>
  </w:style>
  <w:style w:type="paragraph" w:styleId="BalloonText">
    <w:name w:val="Balloon Text"/>
    <w:basedOn w:val="Normal"/>
    <w:link w:val="BalloonTextChar"/>
    <w:uiPriority w:val="99"/>
    <w:semiHidden/>
    <w:unhideWhenUsed/>
    <w:rsid w:val="00AD7CA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D7CA9"/>
    <w:rPr>
      <w:rFonts w:ascii="Segoe UI" w:eastAsia="Arial" w:hAnsi="Segoe UI" w:cs="Segoe UI"/>
      <w:sz w:val="18"/>
      <w:szCs w:val="18"/>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2">
    <w:name w:val="2"/>
    <w:basedOn w:val="TableNormal"/>
    <w:tblPr>
      <w:tblStyleRowBandSize w:val="1"/>
      <w:tblStyleColBandSize w:val="1"/>
    </w:tblPr>
  </w:style>
  <w:style w:type="table" w:customStyle="1" w:styleId="1">
    <w:name w:val="1"/>
    <w:basedOn w:val="TableNormal"/>
    <w:tblPr>
      <w:tblStyleRowBandSize w:val="1"/>
      <w:tblStyleColBandSize w:val="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yv7/qopDYKCdyICYx3u9Cr+xBPw==">CgMxLjAyDmguYjAxc3o2N3Y0aGQzMg5oLmN2cmY4N3BoZmZvcDIOaC4xZDlnYmYzNWcyaXEyCGguZ2pkZ3hzOAByITEzY0c0bThzcW16VmcxS2x3ejRwMUE4OW81WXNUTEJBNw==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1009</Words>
  <Characters>5757</Characters>
  <Application>Microsoft Office Word</Application>
  <DocSecurity>0</DocSecurity>
  <Lines>47</Lines>
  <Paragraphs>13</Paragraphs>
  <ScaleCrop>false</ScaleCrop>
  <Company/>
  <LinksUpToDate>false</LinksUpToDate>
  <CharactersWithSpaces>6753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Cheryl Torline</dc:creator>
  <cp:lastModifiedBy>Anita Parrish</cp:lastModifiedBy>
  <cp:revision>2</cp:revision>
  <dcterms:created xsi:type="dcterms:W3CDTF">2026-04-21T16:16:00Z</dcterms:created>
  <dcterms:modified xsi:type="dcterms:W3CDTF">2026-04-21T16:16:00Z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2022-10-10T00:00:00Z</vt:filetime>
  </property>
  <property fmtid="{D5CDD505-2E9C-101B-9397-08002B2CF9AE}" pid="3" name="Creator">
    <vt:lpwstr>Microsoft® Word for Microsoft 365</vt:lpwstr>
  </property>
  <property fmtid="{D5CDD505-2E9C-101B-9397-08002B2CF9AE}" pid="4" name="LastSaved">
    <vt:filetime>2024-01-20T00:00:00Z</vt:filetime>
  </property>
  <property fmtid="{D5CDD505-2E9C-101B-9397-08002B2CF9AE}" pid="5" name="Producer">
    <vt:lpwstr>Microsoft® Word for Microsoft 365</vt:lpwstr>
  </property>
</Properties>
</file>